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같은 것을 주는 교육과, 배울 수 있게 하는 교육</w:t>
      </w:r>
    </w:p>
    <w:p>
      <w:pPr>
        <w:spacing w:after="240"/>
      </w:pPr>
      <w:r>
        <w:t xml:space="preserve">똑똑 · 에디터 이음 · 발행 2026.09.28</w:t>
      </w:r>
    </w:p>
    <w:p>
      <w:pPr>
        <w:spacing w:after="120" w:line="320"/>
      </w:pPr>
      <w:r>
        <w:t xml:space="preserve">자원·과정·결과를 나누어 교육 격차를 읽습니다.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키가 다른 학생에게 같은 높이의 책상을 주는 것과 각자 읽고 쓸 수 있게 자리를 조정하는 것은 다릅니다. 다르게 지원하는 이유를 설명할 기준이 필요합니다.</w:t>
      </w:r>
    </w:p>
    <w:p>
      <w:pPr>
        <w:pStyle w:val="Heading1"/>
        <w:keepNext/>
      </w:pPr>
      <w:r>
        <w:t xml:space="preserve">핵심</w:t>
      </w:r>
    </w:p>
    <w:p>
      <w:pPr>
        <w:spacing w:after="120" w:line="320"/>
      </w:pPr>
      <w:r>
        <w:t xml:space="preserve">• 지원 자원의 양과 실제 이용 가능한 기회는 다를 수 있습니다.</w:t>
      </w:r>
    </w:p>
    <w:p>
      <w:pPr>
        <w:spacing w:after="120" w:line="320"/>
      </w:pPr>
      <w:r>
        <w:t xml:space="preserve">• 평균의 변화가 모든 학생의 경험을 대표하지 않습니다.</w:t>
      </w:r>
    </w:p>
    <w:p>
      <w:pPr>
        <w:spacing w:after="120" w:line="320"/>
      </w:pPr>
      <w:r>
        <w:t xml:space="preserve">• 학생을 분류하는 데서 그치지 않고 학습의 장벽을 찾아야 합니다.</w:t>
      </w:r>
    </w:p>
    <w:p>
      <w:pPr>
        <w:pStyle w:val="Heading1"/>
        <w:keepNext/>
      </w:pPr>
      <w:r>
        <w:t xml:space="preserve">1장 · 무엇을 비교하나 · 출발점·과정·결과를 같은 말로 부르지 않습니다</w:t>
      </w:r>
    </w:p>
    <w:p>
      <w:pPr>
        <w:spacing w:after="120" w:line="320"/>
      </w:pPr>
      <w:r>
        <w:t xml:space="preserve">교육 격차라는 말에는 여러 질문이 들어 있습니다. 공부할 시간과 자료가 있는지, 수업에서 질문하고 도움받을 기회가 있는지, 평가 결과가 어떻게 다른지는 서로 연결되지만 같은 지표가 아닙니다. 결과 차이를 봤다고 출발점의 원인이 모두 확인된 것은 아닙니다.</w:t>
      </w:r>
    </w:p>
    <w:p>
      <w:pPr>
        <w:spacing w:after="120" w:line="320"/>
      </w:pPr>
      <w:r>
        <w:t xml:space="preserve">지원 정책도 무엇을 바꾸려는지 명확해야 합니다. 기기를 주는 사업은 접속의 장벽을 낮추려는 것이고, 피드백 시간을 마련하는 사업은 학습 과정의 지원을 바꾸려는 것입니다. 제공 건수를 동일한 성과 척도로 비교하면 목적의 차이가 사라집니다.</w:t>
      </w:r>
    </w:p>
    <w:p>
      <w:pPr>
        <w:pStyle w:val="Heading1"/>
        <w:keepNext/>
      </w:pPr>
      <w:r>
        <w:t xml:space="preserve">분석 틀 · 자원이 배움으로 이어지는 세 장면</w:t>
      </w:r>
    </w:p>
    <w:p>
      <w:pPr>
        <w:spacing w:after="120" w:line="320"/>
      </w:pPr>
      <w:r>
        <w:t xml:space="preserve">• 자원:  시간·공간·자료·접속</w:t>
      </w:r>
    </w:p>
    <w:p>
      <w:pPr>
        <w:spacing w:after="120" w:line="320"/>
      </w:pPr>
      <w:r>
        <w:t xml:space="preserve">• 경험:  참여·질문·피드백·재시도</w:t>
      </w:r>
    </w:p>
    <w:p>
      <w:pPr>
        <w:spacing w:after="120" w:line="320"/>
      </w:pPr>
      <w:r>
        <w:t xml:space="preserve">• 결과:  이해·수행·다음 선택</w:t>
      </w:r>
    </w:p>
    <w:p>
      <w:pPr>
        <w:spacing w:after="120" w:line="320"/>
      </w:pPr>
      <w:r>
        <w:t xml:space="preserve">교육 기회를 읽는 자체 틀입니다. 각 단계의 인과 효과를 추정한 모형이 아닙니다.</w:t>
      </w:r>
    </w:p>
    <w:p>
      <w:pPr>
        <w:pStyle w:val="Heading1"/>
        <w:keepNext/>
      </w:pPr>
      <w:r>
        <w:t xml:space="preserve">2장 · 숫자 · 평균 아래에 남아 있는 차이를 봅니다</w:t>
      </w:r>
    </w:p>
    <w:p>
      <w:pPr>
        <w:spacing w:after="120" w:line="320"/>
      </w:pPr>
      <w:r>
        <w:t xml:space="preserve">두 학급의 평균 점수가 같아도 학생들의 분포는 다를 수 있습니다. 한 반은 비슷한 수준에 모이고 다른 반은 큰 차이로 벌어져 있을 수 있습니다. 평균은 필요하지만 지원이 필요한 위치를 보여주는 유일한 정보는 아닙니다.</w:t>
      </w:r>
    </w:p>
    <w:p>
      <w:pPr>
        <w:spacing w:after="120" w:line="320"/>
      </w:pPr>
      <w:r>
        <w:t xml:space="preserve">PISA 같은 국제 평가는 성취와 형평성을 살피는 자료를 제공합니다. 다만 국가 수준의 관계를 특정 학생의 원인으로 곧바로 적용해서는 안 됩니다. 집단의 통계로 한 사람의 가능성을 판단하면 자료가 설명할 수 있는 범위를 넘게 됩니다.</w:t>
      </w:r>
    </w:p>
    <w:p>
      <w:pPr>
        <w:pStyle w:val="Heading1"/>
        <w:keepNext/>
      </w:pPr>
      <w:r>
        <w:t xml:space="preserve">3장 · 교실 · 문제를 학생 안에서만 찾지 않습니다</w:t>
      </w:r>
    </w:p>
    <w:p>
      <w:pPr>
        <w:spacing w:after="120" w:line="320"/>
      </w:pPr>
      <w:r>
        <w:t xml:space="preserve">가상의 학생이 설명 영상을 보지 않았다고 합시다. 관심이 없었는지, 접속이 어려웠는지, 자막이 필요했는지, 무엇을 해야 하는지 몰랐는지는 아직 모릅니다. 미제출이라는 결과 하나에서 동기를 판단하기 전에 과제의 장벽을 확인할 수 있습니다. CAST의 UDL은 다양한 학습자가 접근하고 참여하고 표현할 방법을 설계하는 관점입니다. 모든 학생에게 무한한 선택지를 주자는 뜻으로 읽기보다 목표를 지키면서 불필요한 장벽을 줄이는 질문으로 활용할 수 있습니다.</w:t>
      </w:r>
    </w:p>
    <w:p>
      <w:pPr>
        <w:pStyle w:val="Heading1"/>
        <w:keepNext/>
      </w:pPr>
      <w:r>
        <w:t xml:space="preserve">지원 설계 · 같은 목표, 다른 진입로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목표</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장벽의 예</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가능한 조정</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원인과 결과 설명</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긴 글의 언어 부담</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용어 설명·문단별 질문</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비교</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작은 화면의 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읽을 수 있는 HTML 표·텍스트 대안</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주장 발표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즉석 발언의 부담</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사전 준비·메모·다른 표현 방식</w:t>
            </w:r>
          </w:p>
        </w:tc>
      </w:tr>
    </w:tbl>
    <w:p>
      <w:pPr>
        <w:spacing w:after="120" w:line="320"/>
      </w:pPr>
      <w:r>
        <w:t xml:space="preserve">수업 목표 자체를 바꿀지, 접근 방식만 조정할지는 담당자가 구분해야 합니다.</w:t>
      </w:r>
    </w:p>
    <w:p>
      <w:pPr>
        <w:pStyle w:val="Heading1"/>
        <w:keepNext/>
      </w:pPr>
      <w:r>
        <w:t xml:space="preserve">4장 · 평가 · 지원했는가 다음에, 이용할 수 있었는가</w:t>
      </w:r>
    </w:p>
    <w:p>
      <w:pPr>
        <w:spacing w:after="120" w:line="320"/>
      </w:pPr>
      <w:r>
        <w:t xml:space="preserve">지원의 첫 확인은 실제로 도달했는지입니다. 자료를 배포해도 읽기 어려운 형식이면 접근이 막힐 수 있습니다. 이어서 학생이 무엇을 시도하고 어떤 도움을 받아 바뀌었는지 살펴야 합니다.</w:t>
      </w:r>
    </w:p>
    <w:p>
      <w:pPr>
        <w:spacing w:after="120" w:line="320"/>
      </w:pPr>
      <w:r>
        <w:t xml:space="preserve">결과만 기다리기보다 과정의 작은 문제를 빨리 고칠 수 있습니다. 형평성을 논할 때 모든 차이를 없애겠다는 막연한 약속보다 제거하려는 장벽을 구체적으로 쓰는 편이 좋습니다. 학습자의 선택과 다양성을 존중하면서 필요한 기회를 보장하는 것이 목표이며, 어떤 지원이 충분한지는 계속 확인하고 수정해야 합니다.</w:t>
      </w:r>
    </w:p>
    <w:p>
      <w:pPr>
        <w:pStyle w:val="Heading1"/>
        <w:keepNext/>
      </w:pPr>
      <w:r>
        <w:t xml:space="preserve">직접 생각해 보기</w:t>
      </w:r>
    </w:p>
    <w:p>
      <w:pPr>
        <w:spacing w:after="120" w:line="320"/>
      </w:pPr>
      <w:r>
        <w:t xml:space="preserve">과제 미제출을 보고 내릴 수 있는 관찰과 아직 모르는 해석을 각각 적어보세요.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관찰은 정해진 시간에 제출물이 없다는 것입니다. 이유는 접속·이해·시간·도움 등 여러 가능성이 남으므로 확인 전에는 확정할 수 없습니다.</w:t>
      </w:r>
    </w:p>
    <w:p>
      <w:pPr>
        <w:pStyle w:val="Heading2"/>
        <w:keepNext/>
      </w:pPr>
      <w:r>
        <w:t xml:space="preserve">평균이 오르면 격차도 줄었나요?</w:t>
      </w:r>
    </w:p>
    <w:p>
      <w:pPr>
        <w:spacing w:after="120" w:line="320"/>
      </w:pPr>
      <w:r>
        <w:t xml:space="preserve">그렇지 않을 수 있습니다. 평균과 학생 간 분포, 집단별 변화는 다른 정보를 줍니다.</w:t>
      </w:r>
    </w:p>
    <w:p>
      <w:pPr>
        <w:pStyle w:val="Heading2"/>
        <w:keepNext/>
      </w:pPr>
      <w:r>
        <w:t xml:space="preserve">지원이 다르면 공정하지 않은가요?</w:t>
      </w:r>
    </w:p>
    <w:p>
      <w:pPr>
        <w:spacing w:after="120" w:line="320"/>
      </w:pPr>
      <w:r>
        <w:t xml:space="preserve">어떤 목표에 접근하기 위한 어떤 필요인지 설명해야 합니다. 같은 자원을 주는 것과 필요한 기회를 보장하는 것은 구분할 수 있습니다.</w:t>
      </w:r>
    </w:p>
    <w:p>
      <w:pPr>
        <w:pStyle w:val="Heading1"/>
        <w:keepNext/>
      </w:pPr>
      <w:r>
        <w:t xml:space="preserve">원문과 출처</w:t>
      </w:r>
    </w:p>
    <w:p>
      <w:pPr>
        <w:spacing w:after="120" w:line="320"/>
      </w:pPr>
      <w:r>
        <w:t xml:space="preserve">• OECD · PISA 2022 결과 1권 — https://www.oecd.org/en/publications/pisa-2022-results-volume-i_53f23881-en/full-report/how-did-countries-perform-in-pisa_dc514907.html: 2023년 12월 5일 발간. 15세 학생의 성취 측정과 국가 간 비교 범위.</w:t>
      </w:r>
    </w:p>
    <w:p>
      <w:pPr>
        <w:spacing w:after="120" w:line="320"/>
      </w:pPr>
      <w:r>
        <w:t xml:space="preserve">• UNESCO · 2023 GEM 교육 기술 보고서 — https://gem-report-2023.unesco.org/technology-in-education/: 접근성·교육의 질·주의 분산을 함께 다룹니다. 관찰과 인과 해석을 구분해 읽습니다.</w:t>
      </w:r>
    </w:p>
    <w:p>
      <w:pPr>
        <w:spacing w:after="120" w:line="320"/>
      </w:pPr>
      <w:r>
        <w:t xml:space="preserve">• CAST · UDL Guidelines 3.0 — https://udlguidelines.cast.org/: 참여, 표상, 행동·표현의 설계 관점. 효과를 보장하는 제품 인증이 아닙니다.</w:t>
      </w:r>
    </w:p>
    <w:p>
      <w:pPr>
        <w:spacing w:after="120" w:line="320"/>
      </w:pPr>
      <w:r>
        <w:t xml:space="preserve">제작 방식과 정정 안내: https://www.dokdok.co/about#editorial</w:t>
      </w:r>
    </w:p>
    <w:p>
      <w:pPr>
        <w:pStyle w:val="Source"/>
        <w:spacing w:before="240"/>
      </w:pPr>
      <w:r>
        <w:t xml:space="preserve">온라인 원문: https://www.dokdok.co/reading/education-equity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158fdfc-fc35-78e9-c20f-e4fa23505a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같은 것을 주는 교육과, 배울 수 있게 하는 교육</dc:title>
  <dc:creator>똑똑</dc:creator>
  <dc:description>똑똑 · 에디터 이음 · 발행 2026.09.28</dc:description>
  <cp:lastModifiedBy>Un-named</cp:lastModifiedBy>
  <cp:revision>1</cp:revision>
  <dcterms:created xsi:type="dcterms:W3CDTF">2026-09-30T04:37:34.769Z</dcterms:created>
  <dcterms:modified xsi:type="dcterms:W3CDTF">2026-09-30T04:37:34.769Z</dcterms:modified>
</cp:coreProperties>
</file>

<file path=docProps/custom.xml><?xml version="1.0" encoding="utf-8"?>
<Properties xmlns="http://schemas.openxmlformats.org/officeDocument/2006/custom-properties" xmlns:vt="http://schemas.openxmlformats.org/officeDocument/2006/docPropsVTypes"/>
</file>